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b/>
          <w:color w:val="BE2933"/>
          <w:sz w:val="16"/>
        </w:rPr>
        <w:t>QUALIFIED COUNTERPARTY WORKING TEMPLATES</w:t>
      </w:r>
    </w:p>
    <w:p>
      <w:pPr>
        <w:pStyle w:val="U1Big"/>
      </w:pPr>
      <w:r>
        <w:t>Non-Binding Indicative Term Sheet</w:t>
      </w:r>
    </w:p>
    <w:p>
      <w:pPr>
        <w:spacing w:after="300"/>
      </w:pPr>
      <w:r>
        <w:rPr>
          <w:b w:val="0"/>
          <w:color w:val="516478"/>
          <w:sz w:val="20"/>
        </w:rPr>
        <w:t>Two alternative non-binding transaction pathways: (A) acquisition of selected namespace assets or (B) an exclusive licence. Use only one pathway for a specific proposal unless the parties agree to a hybrid.</w:t>
      </w:r>
    </w:p>
    <w:p>
      <w:pPr>
        <w:keepNext/>
        <w:spacing w:before="180" w:after="40"/>
      </w:pPr>
      <w:r>
        <w:rPr>
          <w:b/>
          <w:color w:val="A72830"/>
          <w:sz w:val="16"/>
        </w:rPr>
        <w:t>STRATEGIC TRANSACTION CONTACT</w:t>
      </w:r>
    </w:p>
    <w:p>
      <w:pPr>
        <w:keepNext/>
        <w:spacing w:after="20"/>
      </w:pPr>
      <w:r>
        <w:rPr>
          <w:b/>
          <w:color w:val="112233"/>
          <w:sz w:val="18"/>
        </w:rPr>
        <w:t>Robert Weiland  |  Principal, U1.ca</w:t>
      </w:r>
    </w:p>
    <w:p>
      <w:pPr>
        <w:spacing w:after="100"/>
      </w:pPr>
      <w:r>
        <w:rPr>
          <w:color w:val="374D62"/>
          <w:sz w:val="17"/>
        </w:rPr>
        <w:t>Direct: +1 (604) 842-9810  |  r@u1.ca  |  https://u1.ca</w:t>
      </w:r>
    </w:p>
    <w:p>
      <w:pPr>
        <w:spacing w:after="60"/>
      </w:pPr>
      <w:r>
        <w:rPr>
          <w:b/>
          <w:color w:val="091A2B"/>
          <w:sz w:val="22"/>
        </w:rPr>
        <w:t>Purpose</w:t>
      </w:r>
    </w:p>
    <w:p>
      <w:pPr>
        <w:spacing w:after="180"/>
      </w:pPr>
      <w:r>
        <w:rPr>
          <w:b w:val="0"/>
        </w:rPr>
        <w:t>These templates are intended to let an infrastructure operator, corporate development team or strategic investor submit a structured, preliminary proposal to U1.ca. They are not a public offer, commitment to transact, NDA, exclusivity undertaking, or complete legal agreement.</w:t>
      </w:r>
    </w:p>
    <w:p>
      <w:pPr>
        <w:spacing w:after="80"/>
      </w:pPr>
      <w:r>
        <w:rPr>
          <w:b/>
          <w:color w:val="091A2B"/>
          <w:sz w:val="22"/>
        </w:rPr>
        <w:t>What a counterparty should complete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7459"/>
      </w:tblGrid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1 / Identify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Legal entity, authorized contact, intended use, preferred acquisition or licensing path.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2 / Specify scope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A preliminary Schedule A of domain registrations and any separately identified documentation or rights; do not assume that a public architecture diagram defines an asset bundle.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3 / Propose economics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Purchase price and funding mechanism, or licence fees and duration, using the blanks below.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4 / Define due diligence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review timetable, domain eligibility and control checks, third-party rights review, and operating transition responsibilities.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5 / Submit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Send the completed non-binding proposal to r@u1.ca. Confidential records can be exchanged after a separate mutual NDA if agreed.</w:t>
            </w:r>
          </w:p>
        </w:tc>
      </w:tr>
    </w:tbl>
    <w:p>
      <w:pPr>
        <w:spacing w:after="0"/>
      </w:pPr>
    </w:p>
    <w:p>
      <w:pPr>
        <w:spacing w:after="60"/>
      </w:pPr>
      <w:r>
        <w:rPr>
          <w:b/>
          <w:color w:val="091A2B"/>
          <w:sz w:val="20"/>
        </w:rPr>
        <w:t>Important transaction boundary</w:t>
      </w:r>
    </w:p>
    <w:p>
      <w:pPr>
        <w:spacing w:after="80"/>
      </w:pPr>
      <w:r>
        <w:rPr>
          <w:b w:val="0"/>
          <w:sz w:val="17"/>
        </w:rPr>
        <w:t>The Sovereign Seven, Assurance Enclave and Namespace0 describe proposed namespace identities and architectural positioning. Neither this document nor U1.ca represents that a production authoritative DNS, anycast, recursive DNS, DDoS protection, registrar, or telecom service is included or operational. Any deployed infrastructure, software, IP or operating support must be expressly scheduled.</w:t>
      </w:r>
    </w:p>
    <w:p>
      <w:pPr>
        <w:spacing w:after="140"/>
      </w:pPr>
      <w:r>
        <w:rPr>
          <w:b w:val="0"/>
          <w:color w:val="516478"/>
          <w:sz w:val="16"/>
        </w:rPr>
        <w:t>Drafting note: Bracketed fields invite counterparty proposals. No price, licence, exclusivity, timetable or asset scope has been pre-accepted by U1.ca. Counsel should review any negotiated document before signature.</w:t>
      </w:r>
    </w:p>
    <w:p>
      <w:r>
        <w:br w:type="page"/>
      </w:r>
    </w:p>
    <w:p>
      <w:pPr>
        <w:spacing w:after="140"/>
      </w:pPr>
      <w:r>
        <w:rPr>
          <w:b/>
          <w:color w:val="BE2933"/>
          <w:sz w:val="16"/>
        </w:rPr>
        <w:t>PATH A  /  ACQUISITION</w:t>
      </w:r>
    </w:p>
    <w:p>
      <w:pPr>
        <w:pStyle w:val="U1Big"/>
      </w:pPr>
      <w:r>
        <w:t>Asset Acquisition</w:t>
      </w:r>
    </w:p>
    <w:p>
      <w:pPr>
        <w:spacing w:after="300"/>
      </w:pPr>
      <w:r>
        <w:rPr>
          <w:b w:val="0"/>
          <w:color w:val="516478"/>
          <w:sz w:val="20"/>
        </w:rPr>
        <w:t>Non-binding indication of terms for a proposed acquisition of identified domain-registration rights and expressly scheduled related materials.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7459"/>
      </w:tblGrid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Parties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seller: [exact legal contracting entity behind U1.ca to be confirmed]. Proposed buyer: [full legal name, jurisdiction, registration number].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Indicative date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[date]  /  Proposal validity, if any: [date or number of days].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Transaction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purchase of the specified assets only; asset purchase rather than acquisition of a corporate entity unless separately agreed.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Schedule A: assets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[List each domain name and registry/TLD; optionally itemize separately transferable documentation or rights. Specify included and excluded items. All ownership and third-party rights subject to verification.]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Consideration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aggregate amount and currency: [________]. Deposit: [________]. Allocation among asset classes, if relevant: [________]. No valuation is implied by this template.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Funding &amp; settlement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source of funds: [________]. Payment via reputable independent escrow / closing agent: [________]. Allocation of bank, escrow, registrar and transfer costs: [________].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Closing process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Verify current registrar/registry data, registrant of record, transfer locks and eligibility; agree authenticated transfer authorizations and acceptance confirmation before fund release. Use an agreed closing checklist.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Registry requirements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Closing subject to applicable registrar and registry rules, including .ca Canadian Presence Requirements where applicable. No presumption that a proposed buyer can hold every included domain.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Operational boundary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Only expressly scheduled operational configurations or deliverables transfer. If any live delegation exists, address nameservers, zone control, DS/DNSSEC records, credentials, monitoring and transition responsibility through an agreed technical plan.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U1Smallhead"/>
      </w:pPr>
      <w:r>
        <w:t>Due diligence, conditions and legal mechanics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7459"/>
      </w:tblGrid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Due diligence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[Proposed period] after NDA/scope alignment; checks may cover chain of title, registrar status, RDAP/WHOIS, UDRP/CIRA disputes, liens, third-party claims, policy eligibility, documentation and operational dependencies.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Conditions precedent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Satisfactory due diligence, necessary approvals and eligibility, agreed asset schedules, absence of prohibitive transfer restrictions, executed definitive agreement and escrow instructions.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Representations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Customary limited title, authority and non-encumbrance representations as negotiated. No implied performance, uptime, traffic, rankings or future revenue warranties.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Taxes &amp; expenses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Each party bears its own professional fees unless negotiated otherwise; allocation of transaction taxes and escrow/transfer fees: [________].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Confidentiality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Non-public information exchanged only under a separately executed NDA where appropriate.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Exclusivity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None granted by this template. Any no-shop or exclusivity period would require a separate, expressly binding written agreement.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Target timetable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NDA [date]; due diligence [date]; definitive agreement [date]; closing [date] - indicative only.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Law / disputes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To be determined in the definitive agreement following legal and registry review; no law or forum is selected by this template.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Status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Entirely non-binding. No legal duties to negotiate, accept an offer, transfer rights or close. Rights arise only under executed definitive documents and completed conditions.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b/>
          <w:sz w:val="17"/>
        </w:rPr>
        <w:t>Counterparty proposal submitted by: [name / title / organization]      Date: [________]</w:t>
      </w:r>
    </w:p>
    <w:p>
      <w:pPr>
        <w:spacing w:after="140"/>
      </w:pPr>
      <w:r>
        <w:rPr>
          <w:b w:val="0"/>
          <w:color w:val="516478"/>
          <w:sz w:val="16"/>
        </w:rPr>
        <w:t>Return to r@u1.ca. Do not send sensitive architecture, credentials or proprietary technical materials with an unsolicited initial proposal.</w:t>
      </w:r>
    </w:p>
    <w:p>
      <w:r>
        <w:br w:type="page"/>
      </w:r>
    </w:p>
    <w:p>
      <w:pPr>
        <w:spacing w:after="140"/>
      </w:pPr>
      <w:r>
        <w:rPr>
          <w:b/>
          <w:color w:val="BE2933"/>
          <w:sz w:val="16"/>
        </w:rPr>
        <w:t>PATH B  /  EXCLUSIVE LICENCE</w:t>
      </w:r>
    </w:p>
    <w:p>
      <w:pPr>
        <w:pStyle w:val="U1Big"/>
      </w:pPr>
      <w:r>
        <w:t>Exclusive Licensing</w:t>
      </w:r>
    </w:p>
    <w:p>
      <w:pPr>
        <w:spacing w:after="300"/>
      </w:pPr>
      <w:r>
        <w:rPr>
          <w:b w:val="0"/>
          <w:color w:val="516478"/>
          <w:sz w:val="20"/>
        </w:rPr>
        <w:t>Non-binding indication of terms for a proposed exclusive licence of specifically scheduled digital identities. Title remains with the licensor unless separately transferred.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7459"/>
      </w:tblGrid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Parties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licensor: [exact legal contracting entity behind U1.ca to be confirmed]. Proposed licensee: [full legal name, jurisdiction, registration number].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Indicative date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[date]  /  Proposal validity, if any: [date or number of days].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Schedule A: assets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[Enumerate the domains and any related rights licensed; list exclusions and whether future-added names require amendments.] Public conceptual diagrams do not define licensed rights.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Exclusivity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Requested exclusivity: [exclusive / sole / limited field of use]. Scope: [service category / channels / territory]. Reserved uses and existing rights: [________].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Permitted use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[Describe actual services and brand use, e.g., authoritative DNS naming identities, secure service endpoints or other agreed uses]. No claim of registry, ICANN or CIRA affiliation by implication.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Term / renewal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Initial licence term: [__ years]. Renewal option(s): [________]. Notice periods, review milestones, conditions and early exit triggers: [________].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Licence economics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initial fee: [amount/currency]. Annual minimum or fixed licence fee: [amount]. Variable royalty / revenue share (if any): [formula, reporting and audit rights]. Payment dates: [________].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Registrar control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Registrant of record and registrar account control: [proposed arrangement]. Delegated technical administration, role-based access, change authority and approval process: [________].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Renewals / DNS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Specify who funds renewals and protects domains against expiration, seizure, misconfiguration and unauthorized transfer. Define nameserver, DNSSEC/DS, zone, credential, log and incident responsibilities only where applicable.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U1Smallhead"/>
      </w:pPr>
      <w:r>
        <w:t>Operational safeguards and termination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34"/>
        <w:gridCol w:w="7459"/>
      </w:tblGrid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Deployment obligations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Licensee bears responsibility for deploying and operating any infrastructure it chooses to build unless expressly contracted otherwise. No implied U1 SLA, anycast footprint, security capability or managed DNS service.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Service requirements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technical standards, abuse policies, uptime/security commitments, audit obligations and response process: [________]. Any service-level commitment requires a separately negotiated schedule.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Sublicensing / assignment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Sublicensing, sub-delegation, assignment, asset pledges and change of control: [consent requirements and exceptions]. Registry policy controls remain applicable.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Third-party rights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Licensee to comply with registry policy, DNS abuse obligations where applicable, trademark laws and dispute processes. Responsibility for claims and indemnities to be separately negotiated.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Breach / termination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cure periods for payment, material breach, prohibited use and security events: [________]. Consequences of insolvency or material change of control: [________].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Exit / continuity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Agree end-of-term transition, DNS and zone handover (if applicable), cessation of brand use, continued renewals during transition, return of credentials/data and any limited transition assistance.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Purchase option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Optional future purchase right: [none / separately negotiated strike price, exercise period and conditions]. No option is created by this template.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NDA / exclusivity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Non-public due diligence under separate NDA as appropriate; no negotiation exclusivity or binding licence is granted by this template.</w:t>
            </w:r>
          </w:p>
        </w:tc>
      </w:tr>
      <w:tr>
        <w:trPr>
          <w:cantSplit/>
        </w:trPr>
        <w:tc>
          <w:tcPr>
            <w:tcW w:type="dxa" w:w="2434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Law / timetable</w:t>
            </w:r>
          </w:p>
        </w:tc>
        <w:tc>
          <w:tcPr>
            <w:tcW w:type="dxa" w:w="7459"/>
            <w:shd w:fill="F2F6FA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Proposed due diligence [dates], signing [date], effective date [date]; governing law and dispute mechanisms to be agreed in definitive documents.</w:t>
            </w:r>
          </w:p>
        </w:tc>
      </w:tr>
      <w:tr>
        <w:trPr>
          <w:cantSplit/>
        </w:trPr>
        <w:tc>
          <w:tcPr>
            <w:tcW w:type="dxa" w:w="2434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/>
            </w:pPr>
            <w:r>
              <w:rPr>
                <w:b/>
                <w:color w:val="091A2B"/>
                <w:sz w:val="17"/>
              </w:rPr>
              <w:t>Status</w:t>
            </w:r>
          </w:p>
        </w:tc>
        <w:tc>
          <w:tcPr>
            <w:tcW w:type="dxa" w:w="7459"/>
            <w:vAlign w:val="center"/>
            <w:tcMar>
              <w:top w:w="142" w:type="dxa"/>
              <w:start w:w="140" w:type="dxa"/>
              <w:bottom w:w="142" w:type="dxa"/>
              <w:end w:w="140" w:type="dxa"/>
            </w:tcMar>
          </w:tcPr>
          <w:p>
            <w:pPr>
              <w:spacing w:after="0" w:line="269" w:lineRule="auto"/>
            </w:pPr>
            <w:r>
              <w:rPr>
                <w:sz w:val="17"/>
              </w:rPr>
              <w:t>Entirely non-binding. No licences, rights of use, options or exclusivity arise before duly executed definitive agreements and satisfaction of applicable conditions.</w:t>
            </w:r>
          </w:p>
        </w:tc>
      </w:tr>
    </w:tbl>
    <w:p>
      <w:pPr>
        <w:spacing w:after="0"/>
      </w:pPr>
    </w:p>
    <w:p>
      <w:pPr>
        <w:spacing w:after="140"/>
      </w:pPr>
      <w:r>
        <w:rPr>
          <w:b/>
          <w:sz w:val="17"/>
        </w:rPr>
        <w:t>Counterparty proposal submitted by: [name / title / organization]      Date: [________]</w:t>
      </w:r>
    </w:p>
    <w:p>
      <w:pPr>
        <w:spacing w:after="140"/>
      </w:pPr>
      <w:r>
        <w:rPr>
          <w:b w:val="0"/>
          <w:color w:val="516478"/>
          <w:sz w:val="16"/>
        </w:rPr>
        <w:t>Return to r@u1.ca. Any governance, operating agreement, engineering commitments or commercial rights must be negotiated independently.</w:t>
      </w:r>
    </w:p>
    <w:p>
      <w:r>
        <w:br w:type="page"/>
      </w:r>
    </w:p>
    <w:p>
      <w:pPr>
        <w:spacing w:after="140"/>
      </w:pPr>
      <w:r>
        <w:rPr>
          <w:b/>
          <w:color w:val="BE2933"/>
          <w:sz w:val="16"/>
        </w:rPr>
        <w:t>ANNEX  /  BOTH PATHWAYS</w:t>
      </w:r>
    </w:p>
    <w:p>
      <w:pPr>
        <w:pStyle w:val="U1Big"/>
      </w:pPr>
      <w:r>
        <w:t>Schedule A - Scope Worksheet</w:t>
      </w:r>
    </w:p>
    <w:p>
      <w:pPr>
        <w:spacing w:after="300"/>
      </w:pPr>
      <w:r>
        <w:rPr>
          <w:b w:val="0"/>
          <w:color w:val="516478"/>
          <w:sz w:val="20"/>
        </w:rPr>
        <w:t>A counterparty can use the same worksheet to identify the property interests under review before a confidential due diligence exchange.</w:t>
      </w:r>
    </w:p>
    <w:p>
      <w:pPr>
        <w:spacing w:after="260"/>
      </w:pPr>
      <w:r>
        <w:rPr>
          <w:b w:val="0"/>
        </w:rPr>
        <w:t>Asset definitions must be exact. Include the fully qualified domain name, top-level domain, proposed rights, permitted operating role, conditions and any excluded materials.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98"/>
        <w:gridCol w:w="2498"/>
        <w:gridCol w:w="2498"/>
        <w:gridCol w:w="2498"/>
      </w:tblGrid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  <w:shd w:fill="0C2135"/>
          </w:tcPr>
          <w:p>
            <w:r>
              <w:rPr>
                <w:b/>
                <w:color w:val="FFFFFF"/>
                <w:sz w:val="16"/>
              </w:rPr>
              <w:t>Item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  <w:shd w:fill="0C2135"/>
          </w:tcPr>
          <w:p>
            <w:r>
              <w:rPr>
                <w:b/>
                <w:color w:val="FFFFFF"/>
                <w:sz w:val="16"/>
              </w:rPr>
              <w:t>Domain / right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  <w:shd w:fill="0C2135"/>
          </w:tcPr>
          <w:p>
            <w:r>
              <w:rPr>
                <w:b/>
                <w:color w:val="FFFFFF"/>
                <w:sz w:val="16"/>
              </w:rPr>
              <w:t>Interest sought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  <w:shd w:fill="0C2135"/>
          </w:tcPr>
          <w:p>
            <w:r>
              <w:rPr>
                <w:b/>
                <w:color w:val="FFFFFF"/>
                <w:sz w:val="16"/>
              </w:rPr>
              <w:t>Notes / exclusions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01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02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03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04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05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06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07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  <w:tr>
        <w:trPr>
          <w:cantSplit/>
        </w:trPr>
        <w:tc>
          <w:tcPr>
            <w:tcW w:type="dxa" w:w="749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08</w:t>
            </w:r>
          </w:p>
        </w:tc>
        <w:tc>
          <w:tcPr>
            <w:tcW w:type="dxa" w:w="3600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[____________________]</w:t>
            </w:r>
          </w:p>
        </w:tc>
        <w:tc>
          <w:tcPr>
            <w:tcW w:type="dxa" w:w="2016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[____________]</w:t>
            </w:r>
          </w:p>
        </w:tc>
        <w:tc>
          <w:tcPr>
            <w:tcW w:type="dxa" w:w="3528"/>
            <w:tcMar>
              <w:top w:w="100" w:type="dxa"/>
              <w:start w:w="90" w:type="dxa"/>
              <w:bottom w:w="100" w:type="dxa"/>
              <w:end w:w="90" w:type="dxa"/>
            </w:tcMar>
            <w:shd w:fill="F2F6FA"/>
          </w:tcPr>
          <w:p>
            <w:r>
              <w:rPr>
                <w:b w:val="0"/>
                <w:sz w:val="16"/>
              </w:rPr>
              <w:t>[___________________]</w:t>
            </w:r>
          </w:p>
        </w:tc>
      </w:tr>
    </w:tbl>
    <w:p>
      <w:pPr>
        <w:pStyle w:val="U1Section"/>
      </w:pPr>
      <w:r>
        <w:t>Technical and commercial questions to resolve</w:t>
      </w:r>
    </w:p>
    <w:p>
      <w:pPr>
        <w:pStyle w:val="ListBullet"/>
      </w:pPr>
      <w:r>
        <w:t>Are the asset identities presently registered, eligible for transfer or licensing, and free of material restrictions?</w:t>
      </w:r>
    </w:p>
    <w:p>
      <w:pPr>
        <w:pStyle w:val="ListBullet"/>
      </w:pPr>
      <w:r>
        <w:t>What access or change-control rights are required (registrant, registrar, zone, DS/DNSSEC, nameserver delegation)?</w:t>
      </w:r>
    </w:p>
    <w:p>
      <w:pPr>
        <w:pStyle w:val="ListBullet"/>
      </w:pPr>
      <w:r>
        <w:t>Is any operational service, source code, data, traffic, configuration or staff capability explicitly included? If not, state that it is excluded.</w:t>
      </w:r>
    </w:p>
    <w:p>
      <w:pPr>
        <w:pStyle w:val="ListBullet"/>
      </w:pPr>
      <w:r>
        <w:t>What is the proposed structure of consideration, escrow or continuing fee/reporting?</w:t>
      </w:r>
    </w:p>
    <w:p>
      <w:pPr>
        <w:pStyle w:val="ListBullet"/>
      </w:pPr>
      <w:r>
        <w:t>Who is responsible for renewals, incidents, abuse complaints, policy compliance, taxes and any exit transition?</w:t>
      </w:r>
    </w:p>
    <w:p>
      <w:pPr>
        <w:pStyle w:val="ListBullet"/>
      </w:pPr>
      <w:r>
        <w:t>Which records require a confidentiality agreement before disclosure?</w:t>
      </w:r>
    </w:p>
    <w:p>
      <w:pPr>
        <w:keepNext/>
        <w:spacing w:before="180" w:after="40"/>
      </w:pPr>
      <w:r>
        <w:rPr>
          <w:b/>
          <w:color w:val="A72830"/>
          <w:sz w:val="16"/>
        </w:rPr>
        <w:t>STRATEGIC TRANSACTION CONTACT</w:t>
      </w:r>
    </w:p>
    <w:p>
      <w:pPr>
        <w:keepNext/>
        <w:spacing w:after="20"/>
      </w:pPr>
      <w:r>
        <w:rPr>
          <w:b/>
          <w:color w:val="112233"/>
          <w:sz w:val="18"/>
        </w:rPr>
        <w:t>Robert Weiland  |  Principal, U1.ca</w:t>
      </w:r>
    </w:p>
    <w:p>
      <w:pPr>
        <w:spacing w:after="100"/>
      </w:pPr>
      <w:r>
        <w:rPr>
          <w:color w:val="374D62"/>
          <w:sz w:val="17"/>
        </w:rPr>
        <w:t>Direct: +1 (604) 842-9810  |  r@u1.ca  |  https://u1.ca</w:t>
      </w:r>
    </w:p>
    <w:p>
      <w:pPr>
        <w:spacing w:after="140"/>
      </w:pPr>
      <w:r>
        <w:rPr>
          <w:b w:val="0"/>
          <w:color w:val="516478"/>
          <w:sz w:val="16"/>
        </w:rPr>
        <w:t>Non-binding and not legal advice. For use as a preliminary counterparty response only. No warranty of title, non-infringement or deployment is made by this worksheet; those matters require due diligence and definitive documentation.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66" w:right="1123" w:bottom="1080" w:left="1123" w:header="490" w:footer="49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16478"/>
        <w:sz w:val="14"/>
      </w:rPr>
      <w:t xml:space="preserve">DISCUSSION DRAFT  •  NON-BINDING  •  U1.ca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BE2933"/>
        <w:sz w:val="16"/>
      </w:rPr>
      <w:t>U1.ca  /  NAMESPACE ARCHITECTURE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091A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U1Big">
    <w:name w:val="U1 Big"/>
    <w:basedOn w:val="Normal"/>
    <w:pPr>
      <w:spacing w:before="0" w:after="120"/>
    </w:pPr>
    <w:rPr>
      <w:rFonts w:ascii="Aptos Display" w:hAnsi="Aptos Display"/>
      <w:b/>
      <w:color w:val="091A2B"/>
      <w:sz w:val="46"/>
    </w:rPr>
  </w:style>
  <w:style w:type="paragraph" w:customStyle="1" w:styleId="U1Section">
    <w:name w:val="U1 Section"/>
    <w:basedOn w:val="Normal"/>
    <w:pPr>
      <w:spacing w:before="320" w:after="140"/>
    </w:pPr>
    <w:rPr>
      <w:rFonts w:ascii="Aptos Display" w:hAnsi="Aptos Display"/>
      <w:b/>
      <w:color w:val="091A2B"/>
      <w:sz w:val="28"/>
    </w:rPr>
  </w:style>
  <w:style w:type="paragraph" w:customStyle="1" w:styleId="U1Smallhead">
    <w:name w:val="U1 Smallhead"/>
    <w:basedOn w:val="Normal"/>
    <w:pPr>
      <w:spacing w:before="180" w:after="80"/>
    </w:pPr>
    <w:rPr>
      <w:rFonts w:ascii="Aptos Display" w:hAnsi="Aptos Display"/>
      <w:b/>
      <w:color w:val="091A2B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U1 Namespace Architecture - Non-Binding Indicative Term Sheet (Acquisition and Exclusive Licensing) v1.2</dc:title>
  <dc:subject>Non-binding acquisition and exclusive licensing proposal templates for U1 namespace architecture</dc:subject>
  <dc:creator>U1.ca</dc:creator>
  <cp:keywords>U1; Namespace0; Sovereign Seven; term sheet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